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B2B9" w14:textId="30A41614" w:rsidR="000D0484" w:rsidRPr="000D0484" w:rsidRDefault="000D0484" w:rsidP="00471510">
      <w:pPr>
        <w:spacing w:after="0"/>
        <w:jc w:val="both"/>
        <w:rPr>
          <w:b/>
          <w:bCs/>
          <w:u w:val="single"/>
          <w:lang w:val="es-ES"/>
        </w:rPr>
      </w:pPr>
      <w:r w:rsidRPr="000D0484">
        <w:rPr>
          <w:b/>
          <w:bCs/>
          <w:u w:val="single"/>
          <w:lang w:val="es-ES"/>
        </w:rPr>
        <w:t>Condiciones Generales de Compra</w:t>
      </w:r>
    </w:p>
    <w:p w14:paraId="6F709F5E" w14:textId="77777777" w:rsidR="000D0484" w:rsidRDefault="000D0484" w:rsidP="00471510">
      <w:pPr>
        <w:spacing w:after="0"/>
        <w:jc w:val="both"/>
        <w:rPr>
          <w:b/>
          <w:bCs/>
          <w:lang w:val="es-ES"/>
        </w:rPr>
      </w:pPr>
    </w:p>
    <w:p w14:paraId="682ABB42" w14:textId="43ECA7AF" w:rsidR="00471510" w:rsidRP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Forma de pago: </w:t>
      </w:r>
      <w:r w:rsidRPr="00471510">
        <w:rPr>
          <w:lang w:val="es-ES"/>
        </w:rPr>
        <w:t xml:space="preserve">Pago a 60 días </w:t>
      </w:r>
      <w:proofErr w:type="spellStart"/>
      <w:r w:rsidRPr="00471510">
        <w:rPr>
          <w:lang w:val="es-ES"/>
        </w:rPr>
        <w:t>ff</w:t>
      </w:r>
      <w:proofErr w:type="spellEnd"/>
    </w:p>
    <w:p w14:paraId="3265628F" w14:textId="266F9D55" w:rsidR="00471510" w:rsidRP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Envío: </w:t>
      </w:r>
      <w:r w:rsidRPr="00471510">
        <w:rPr>
          <w:lang w:val="es-ES"/>
        </w:rPr>
        <w:t>Todos los materiales remitidos deberán venir debidamente identificados y acompañados del correspondiente albarán o nota de entrega que</w:t>
      </w:r>
      <w:r w:rsidR="000D0484">
        <w:rPr>
          <w:lang w:val="es-ES"/>
        </w:rPr>
        <w:t xml:space="preserve"> </w:t>
      </w:r>
      <w:r w:rsidRPr="00471510">
        <w:rPr>
          <w:lang w:val="es-ES"/>
        </w:rPr>
        <w:t xml:space="preserve">permitan la identificación de </w:t>
      </w:r>
      <w:proofErr w:type="gramStart"/>
      <w:r w:rsidRPr="00471510">
        <w:rPr>
          <w:lang w:val="es-ES"/>
        </w:rPr>
        <w:t>los mismos</w:t>
      </w:r>
      <w:proofErr w:type="gramEnd"/>
      <w:r w:rsidRPr="00471510">
        <w:rPr>
          <w:lang w:val="es-ES"/>
        </w:rPr>
        <w:t>. Cuando corresponda, el material vendrá acompañado de su respectivo certificado de conformidad.</w:t>
      </w:r>
    </w:p>
    <w:p w14:paraId="7682C65D" w14:textId="77777777" w:rsidR="00471510" w:rsidRP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Condiciones de entrega: </w:t>
      </w:r>
      <w:r w:rsidRPr="00471510">
        <w:rPr>
          <w:lang w:val="es-ES"/>
        </w:rPr>
        <w:t>Libre de portes y embalajes.</w:t>
      </w:r>
    </w:p>
    <w:p w14:paraId="4254927E" w14:textId="4A7C52A5" w:rsid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Recepción: </w:t>
      </w:r>
      <w:r w:rsidRPr="00471510">
        <w:rPr>
          <w:lang w:val="es-ES"/>
        </w:rPr>
        <w:t>Cualquier material que en su fase de recepción sea rechazado por no tener las condiciones pactadas se devolverán a su remitente,</w:t>
      </w:r>
      <w:r>
        <w:rPr>
          <w:lang w:val="es-ES"/>
        </w:rPr>
        <w:t xml:space="preserve"> </w:t>
      </w:r>
      <w:r w:rsidRPr="00471510">
        <w:rPr>
          <w:lang w:val="es-ES"/>
        </w:rPr>
        <w:t>cargándose los gastos que se originen en esa devolución.</w:t>
      </w:r>
    </w:p>
    <w:p w14:paraId="1E530190" w14:textId="7335410C" w:rsidR="00471510" w:rsidRDefault="00471510" w:rsidP="00471510">
      <w:pPr>
        <w:spacing w:after="0"/>
        <w:jc w:val="both"/>
        <w:rPr>
          <w:b/>
          <w:bCs/>
          <w:lang w:val="es-ES"/>
        </w:rPr>
      </w:pPr>
      <w:r w:rsidRPr="00471510">
        <w:rPr>
          <w:b/>
          <w:bCs/>
          <w:lang w:val="es-ES"/>
        </w:rPr>
        <w:t>Para actividades con alcance PECAL: todos los requisitos de este contrato pueden estar sometidos a aseguramiento oficial de la calidad</w:t>
      </w:r>
      <w:r w:rsidR="000D0484">
        <w:rPr>
          <w:b/>
          <w:bCs/>
          <w:lang w:val="es-ES"/>
        </w:rPr>
        <w:t xml:space="preserve"> </w:t>
      </w:r>
      <w:r w:rsidRPr="00471510">
        <w:rPr>
          <w:b/>
          <w:bCs/>
          <w:lang w:val="es-ES"/>
        </w:rPr>
        <w:t>(AOC). S</w:t>
      </w:r>
      <w:r w:rsidR="000D0484">
        <w:rPr>
          <w:b/>
          <w:bCs/>
          <w:lang w:val="es-ES"/>
        </w:rPr>
        <w:t>e</w:t>
      </w:r>
      <w:r w:rsidRPr="00471510">
        <w:rPr>
          <w:b/>
          <w:bCs/>
          <w:lang w:val="es-ES"/>
        </w:rPr>
        <w:t xml:space="preserve"> le notificará cualquier actividad de AOC que se vaya a realizar.</w:t>
      </w:r>
    </w:p>
    <w:p w14:paraId="64567C70" w14:textId="77A85F79" w:rsidR="00471510" w:rsidRP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Confidencialidad: </w:t>
      </w:r>
      <w:r w:rsidRPr="00471510">
        <w:rPr>
          <w:lang w:val="es-ES"/>
        </w:rPr>
        <w:t xml:space="preserve">Toda la documentación o información que se maneje derivada de este </w:t>
      </w:r>
      <w:r w:rsidR="000D0484" w:rsidRPr="00471510">
        <w:rPr>
          <w:lang w:val="es-ES"/>
        </w:rPr>
        <w:t>pedido</w:t>
      </w:r>
      <w:r w:rsidRPr="00471510">
        <w:rPr>
          <w:lang w:val="es-ES"/>
        </w:rPr>
        <w:t xml:space="preserve"> se considerará</w:t>
      </w:r>
      <w:r w:rsidR="000D0484">
        <w:rPr>
          <w:lang w:val="es-ES"/>
        </w:rPr>
        <w:t xml:space="preserve"> </w:t>
      </w:r>
      <w:r w:rsidRPr="00471510">
        <w:rPr>
          <w:lang w:val="es-ES"/>
        </w:rPr>
        <w:t>confidencial y no podrá ser divulgada a terceros sin autorización escrita de FIDAMC.</w:t>
      </w:r>
    </w:p>
    <w:p w14:paraId="05498A55" w14:textId="410B3325" w:rsidR="00471510" w:rsidRP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Calidad y medio ambiente: </w:t>
      </w:r>
      <w:r w:rsidRPr="00471510">
        <w:rPr>
          <w:lang w:val="es-ES"/>
        </w:rPr>
        <w:t>El proveedor se compromete a desarrollar sus procesos en base a criterios de calidad y respeto al medio ambiente,</w:t>
      </w:r>
      <w:r w:rsidR="000D0484">
        <w:rPr>
          <w:lang w:val="es-ES"/>
        </w:rPr>
        <w:t xml:space="preserve"> </w:t>
      </w:r>
      <w:r w:rsidRPr="00471510">
        <w:rPr>
          <w:lang w:val="es-ES"/>
        </w:rPr>
        <w:t>participando en los compromisos que FIDAMC asume en su Política de Calidad y Medio Ambiente (disponible en su página www.fidamc.es)</w:t>
      </w:r>
    </w:p>
    <w:p w14:paraId="2277B4A5" w14:textId="0EAF3DE9" w:rsidR="00471510" w:rsidRPr="00471510" w:rsidRDefault="00471510" w:rsidP="00471510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Derecho de acceso: </w:t>
      </w:r>
      <w:r w:rsidRPr="00471510">
        <w:rPr>
          <w:lang w:val="es-ES"/>
        </w:rPr>
        <w:t>FIDAMC, sus clientes y las autoridades reguladoras tienen el derecho de acceso, previo aviso, a todas las instalaciones del</w:t>
      </w:r>
      <w:r w:rsidR="000D0484">
        <w:rPr>
          <w:lang w:val="es-ES"/>
        </w:rPr>
        <w:t xml:space="preserve"> </w:t>
      </w:r>
      <w:r w:rsidRPr="00471510">
        <w:rPr>
          <w:lang w:val="es-ES"/>
        </w:rPr>
        <w:t>proveedor implicadas en este pedido y a todos los registros aplicables.</w:t>
      </w:r>
    </w:p>
    <w:p w14:paraId="3C7B7077" w14:textId="2983CDC9" w:rsidR="000D0484" w:rsidRPr="000D0484" w:rsidRDefault="00471510" w:rsidP="000D0484">
      <w:pPr>
        <w:spacing w:after="0"/>
        <w:jc w:val="both"/>
        <w:rPr>
          <w:lang w:val="es-ES"/>
        </w:rPr>
      </w:pPr>
      <w:r w:rsidRPr="00471510">
        <w:rPr>
          <w:b/>
          <w:bCs/>
          <w:lang w:val="es-ES"/>
        </w:rPr>
        <w:t xml:space="preserve">Subcontratación: </w:t>
      </w:r>
      <w:r w:rsidRPr="00471510">
        <w:rPr>
          <w:lang w:val="es-ES"/>
        </w:rPr>
        <w:t>El proveedor no podrá acceder este acuerdo ni subcontratar ninguna parte del servicio objeto de este pedido sin previa</w:t>
      </w:r>
      <w:r w:rsidR="000D0484">
        <w:rPr>
          <w:lang w:val="es-ES"/>
        </w:rPr>
        <w:t xml:space="preserve"> </w:t>
      </w:r>
      <w:r w:rsidR="000D0484" w:rsidRPr="000D0484">
        <w:rPr>
          <w:lang w:val="es-ES"/>
        </w:rPr>
        <w:t>autorización a FIDAMC. En cualquier caso, el proveedor deberá transmitir a sus subcontratistas todos los requerimientos y condiciones</w:t>
      </w:r>
      <w:r w:rsidR="000D0484">
        <w:rPr>
          <w:lang w:val="es-ES"/>
        </w:rPr>
        <w:t xml:space="preserve"> </w:t>
      </w:r>
      <w:r w:rsidR="000D0484" w:rsidRPr="000D0484">
        <w:rPr>
          <w:lang w:val="es-ES"/>
        </w:rPr>
        <w:t>establecidas en este pedido.</w:t>
      </w:r>
    </w:p>
    <w:p w14:paraId="2FBEDEC0" w14:textId="31FF12A9" w:rsidR="000D0484" w:rsidRPr="000D0484" w:rsidRDefault="000D0484" w:rsidP="000D0484">
      <w:pPr>
        <w:spacing w:after="0"/>
        <w:jc w:val="both"/>
        <w:rPr>
          <w:lang w:val="es-ES"/>
        </w:rPr>
      </w:pPr>
      <w:r w:rsidRPr="000D0484">
        <w:rPr>
          <w:b/>
          <w:bCs/>
          <w:lang w:val="es-ES"/>
        </w:rPr>
        <w:t xml:space="preserve">Conservación y Acceso a registros del proveedor: </w:t>
      </w:r>
      <w:r w:rsidRPr="000D0484">
        <w:rPr>
          <w:lang w:val="es-ES"/>
        </w:rPr>
        <w:t>El proveedor conservará la información y registros relativos a FIDAMC por un periodo de</w:t>
      </w:r>
      <w:r>
        <w:rPr>
          <w:lang w:val="es-ES"/>
        </w:rPr>
        <w:t xml:space="preserve"> </w:t>
      </w:r>
      <w:r w:rsidRPr="000D0484">
        <w:rPr>
          <w:lang w:val="es-ES"/>
        </w:rPr>
        <w:t xml:space="preserve">acceso </w:t>
      </w:r>
      <w:proofErr w:type="gramStart"/>
      <w:r w:rsidRPr="000D0484">
        <w:rPr>
          <w:lang w:val="es-ES"/>
        </w:rPr>
        <w:t>de acuerdo a</w:t>
      </w:r>
      <w:proofErr w:type="gramEnd"/>
      <w:r w:rsidRPr="000D0484">
        <w:rPr>
          <w:lang w:val="es-ES"/>
        </w:rPr>
        <w:t xml:space="preserve"> lo establecido por la norma EN9130. Estos registros serán mantenidos legibles, identificables y recuperables.”</w:t>
      </w:r>
    </w:p>
    <w:p w14:paraId="487433E8" w14:textId="77777777" w:rsidR="000D0484" w:rsidRPr="000D0484" w:rsidRDefault="000D0484" w:rsidP="000D0484">
      <w:pPr>
        <w:spacing w:after="0"/>
        <w:jc w:val="both"/>
        <w:rPr>
          <w:lang w:val="es-ES"/>
        </w:rPr>
      </w:pPr>
      <w:r w:rsidRPr="000D0484">
        <w:rPr>
          <w:b/>
          <w:bCs/>
          <w:lang w:val="es-ES"/>
        </w:rPr>
        <w:t xml:space="preserve">Información general: </w:t>
      </w:r>
      <w:r w:rsidRPr="000D0484">
        <w:rPr>
          <w:lang w:val="es-ES"/>
        </w:rPr>
        <w:t>El proveedor está obligado a informar de cualquier cambio en el producto, servicio, proceso y ubicación en que incurriera.</w:t>
      </w:r>
    </w:p>
    <w:p w14:paraId="2CF8220D" w14:textId="77777777" w:rsidR="000D0484" w:rsidRPr="000D0484" w:rsidRDefault="000D0484" w:rsidP="000D0484">
      <w:pPr>
        <w:spacing w:after="0"/>
        <w:jc w:val="both"/>
        <w:rPr>
          <w:lang w:val="es-ES"/>
        </w:rPr>
      </w:pPr>
      <w:r w:rsidRPr="000D0484">
        <w:rPr>
          <w:b/>
          <w:bCs/>
          <w:lang w:val="es-ES"/>
        </w:rPr>
        <w:t xml:space="preserve">Sensibilización y prevención: </w:t>
      </w:r>
      <w:r w:rsidRPr="000D0484">
        <w:rPr>
          <w:lang w:val="es-ES"/>
        </w:rPr>
        <w:t>El proveedor destinatario de este pedido debe garantizar que las personas de su organización están sensibilizadas</w:t>
      </w:r>
    </w:p>
    <w:p w14:paraId="7BEB9FB1" w14:textId="1E2958E6" w:rsidR="000D0484" w:rsidRPr="000D0484" w:rsidRDefault="000D0484" w:rsidP="000D0484">
      <w:pPr>
        <w:spacing w:after="0"/>
        <w:jc w:val="both"/>
        <w:rPr>
          <w:lang w:val="es-ES"/>
        </w:rPr>
      </w:pPr>
      <w:r w:rsidRPr="000D0484">
        <w:rPr>
          <w:lang w:val="es-ES"/>
        </w:rPr>
        <w:t>respecto a la contribución a la conformidad y seguridad del producto o servicio ofrecido a FIDAMC y de la importancia del comportamiento ético en</w:t>
      </w:r>
      <w:r>
        <w:rPr>
          <w:lang w:val="es-ES"/>
        </w:rPr>
        <w:t xml:space="preserve"> </w:t>
      </w:r>
      <w:r w:rsidRPr="000D0484">
        <w:rPr>
          <w:lang w:val="es-ES"/>
        </w:rPr>
        <w:t>el desempeño de sus trabajos.</w:t>
      </w:r>
    </w:p>
    <w:p w14:paraId="195A54E5" w14:textId="77777777" w:rsidR="000D0484" w:rsidRPr="000D0484" w:rsidRDefault="000D0484" w:rsidP="000D0484">
      <w:pPr>
        <w:spacing w:after="0"/>
        <w:jc w:val="both"/>
        <w:rPr>
          <w:lang w:val="es-ES"/>
        </w:rPr>
      </w:pPr>
      <w:r w:rsidRPr="000D0484">
        <w:rPr>
          <w:lang w:val="es-ES"/>
        </w:rPr>
        <w:t>El proveedor garantiza la prevención y detección de piezas falsas.</w:t>
      </w:r>
    </w:p>
    <w:p w14:paraId="359040FA" w14:textId="5B2E36FA" w:rsidR="00B1668F" w:rsidRDefault="000D0484" w:rsidP="000D0484">
      <w:pPr>
        <w:spacing w:after="0"/>
        <w:jc w:val="both"/>
        <w:rPr>
          <w:lang w:val="es-ES"/>
        </w:rPr>
      </w:pPr>
      <w:r w:rsidRPr="000D0484">
        <w:rPr>
          <w:lang w:val="es-ES"/>
        </w:rPr>
        <w:t>El proveedor garantiza que sus empleados y equipos disponen de los certificados y/o cualificaciones necesarias para el desempeño de los trabajos</w:t>
      </w:r>
      <w:r>
        <w:rPr>
          <w:lang w:val="es-ES"/>
        </w:rPr>
        <w:t xml:space="preserve"> </w:t>
      </w:r>
      <w:r w:rsidRPr="000D0484">
        <w:rPr>
          <w:lang w:val="es-ES"/>
        </w:rPr>
        <w:t>para FIDAMC.</w:t>
      </w:r>
    </w:p>
    <w:p w14:paraId="76D4D423" w14:textId="77777777" w:rsidR="000D0484" w:rsidRDefault="000D0484" w:rsidP="000D0484">
      <w:pPr>
        <w:spacing w:after="0"/>
        <w:jc w:val="both"/>
        <w:rPr>
          <w:lang w:val="es-ES"/>
        </w:rPr>
      </w:pPr>
    </w:p>
    <w:p w14:paraId="3CCEF3EC" w14:textId="69636BA6" w:rsidR="000D0484" w:rsidRPr="000D0484" w:rsidRDefault="000D0484" w:rsidP="000D0484">
      <w:pPr>
        <w:spacing w:after="0"/>
        <w:jc w:val="both"/>
        <w:rPr>
          <w:u w:val="single"/>
          <w:lang w:val="es-ES"/>
        </w:rPr>
      </w:pPr>
      <w:r w:rsidRPr="000D0484">
        <w:rPr>
          <w:b/>
          <w:bCs/>
          <w:u w:val="single"/>
          <w:lang w:val="es-ES"/>
        </w:rPr>
        <w:t xml:space="preserve">General </w:t>
      </w:r>
      <w:proofErr w:type="spellStart"/>
      <w:r w:rsidRPr="000D0484">
        <w:rPr>
          <w:b/>
          <w:bCs/>
          <w:u w:val="single"/>
          <w:lang w:val="es-ES"/>
        </w:rPr>
        <w:t>Purchasing</w:t>
      </w:r>
      <w:proofErr w:type="spellEnd"/>
      <w:r w:rsidRPr="000D0484">
        <w:rPr>
          <w:b/>
          <w:bCs/>
          <w:u w:val="single"/>
          <w:lang w:val="es-ES"/>
        </w:rPr>
        <w:t xml:space="preserve"> </w:t>
      </w:r>
      <w:proofErr w:type="spellStart"/>
      <w:r w:rsidRPr="000D0484">
        <w:rPr>
          <w:b/>
          <w:bCs/>
          <w:u w:val="single"/>
          <w:lang w:val="es-ES"/>
        </w:rPr>
        <w:t>Conditions</w:t>
      </w:r>
      <w:proofErr w:type="spellEnd"/>
    </w:p>
    <w:p w14:paraId="3DA63A15" w14:textId="77777777" w:rsidR="000D0484" w:rsidRDefault="000D0484" w:rsidP="000D0484">
      <w:pPr>
        <w:spacing w:after="0"/>
        <w:jc w:val="both"/>
        <w:rPr>
          <w:lang w:val="es-ES"/>
        </w:rPr>
      </w:pPr>
    </w:p>
    <w:p w14:paraId="3243D88B" w14:textId="54375FB8" w:rsidR="000D0484" w:rsidRPr="000D0484" w:rsidRDefault="000D0484" w:rsidP="000D0484">
      <w:pPr>
        <w:spacing w:after="0"/>
        <w:jc w:val="both"/>
        <w:rPr>
          <w:b/>
          <w:bCs/>
        </w:rPr>
      </w:pPr>
      <w:r w:rsidRPr="000D0484">
        <w:rPr>
          <w:b/>
          <w:bCs/>
        </w:rPr>
        <w:t xml:space="preserve">Scope of the activities </w:t>
      </w:r>
      <w:proofErr w:type="spellStart"/>
      <w:r w:rsidRPr="000D0484">
        <w:rPr>
          <w:b/>
          <w:bCs/>
        </w:rPr>
        <w:t>aunder</w:t>
      </w:r>
      <w:proofErr w:type="spellEnd"/>
      <w:r w:rsidRPr="000D0484">
        <w:rPr>
          <w:b/>
          <w:bCs/>
        </w:rPr>
        <w:t xml:space="preserve"> AQAP 2110 (NATO quality assurance requirements): all requirements of this contract may be subject to</w:t>
      </w:r>
      <w:r>
        <w:rPr>
          <w:b/>
          <w:bCs/>
        </w:rPr>
        <w:t xml:space="preserve"> </w:t>
      </w:r>
      <w:r w:rsidRPr="000D0484">
        <w:rPr>
          <w:b/>
          <w:bCs/>
        </w:rPr>
        <w:t>GQA (Government Quality Assurance). You will be notified of any GQA activity to be performed</w:t>
      </w:r>
      <w:r>
        <w:rPr>
          <w:b/>
          <w:bCs/>
        </w:rPr>
        <w:t>.</w:t>
      </w:r>
    </w:p>
    <w:p w14:paraId="6FD71E8A" w14:textId="77777777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Payment form: </w:t>
      </w:r>
      <w:r w:rsidRPr="000D0484">
        <w:t>Payment is due within 60 days of the invoice date</w:t>
      </w:r>
    </w:p>
    <w:p w14:paraId="789E1FEA" w14:textId="4388771E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Delivery: </w:t>
      </w:r>
      <w:r w:rsidRPr="000D0484">
        <w:t xml:space="preserve">Each material/freight must come together with its delivery note to enable identification. When </w:t>
      </w:r>
      <w:proofErr w:type="spellStart"/>
      <w:r w:rsidRPr="000D0484">
        <w:t>apropiate</w:t>
      </w:r>
      <w:proofErr w:type="spellEnd"/>
      <w:r w:rsidRPr="000D0484">
        <w:t>, a declaration of conformity will go</w:t>
      </w:r>
      <w:r>
        <w:t xml:space="preserve"> </w:t>
      </w:r>
      <w:r w:rsidRPr="000D0484">
        <w:t>with the material.</w:t>
      </w:r>
    </w:p>
    <w:p w14:paraId="653B55EE" w14:textId="77777777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lastRenderedPageBreak/>
        <w:t xml:space="preserve">Delivery condition: </w:t>
      </w:r>
      <w:r w:rsidRPr="000D0484">
        <w:t>Free of postage and packaging.</w:t>
      </w:r>
    </w:p>
    <w:p w14:paraId="6938CC7F" w14:textId="0FFA1714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Reception: </w:t>
      </w:r>
      <w:r w:rsidRPr="000D0484">
        <w:t>In the reception phase, as consequence of a no-consent or no respect of the agreement, the material will be taken back to the sender</w:t>
      </w:r>
      <w:r>
        <w:t xml:space="preserve"> </w:t>
      </w:r>
      <w:r w:rsidRPr="000D0484">
        <w:t>together with the transportation costs.</w:t>
      </w:r>
    </w:p>
    <w:p w14:paraId="7571C2AC" w14:textId="1D0D1346" w:rsidR="000D0484" w:rsidRPr="000D0484" w:rsidRDefault="000D0484" w:rsidP="000D0484">
      <w:pPr>
        <w:spacing w:after="0"/>
        <w:jc w:val="both"/>
      </w:pPr>
      <w:proofErr w:type="spellStart"/>
      <w:r w:rsidRPr="000D0484">
        <w:rPr>
          <w:b/>
          <w:bCs/>
        </w:rPr>
        <w:t>Confidenciality</w:t>
      </w:r>
      <w:proofErr w:type="spellEnd"/>
      <w:r w:rsidRPr="000D0484">
        <w:rPr>
          <w:b/>
          <w:bCs/>
        </w:rPr>
        <w:t xml:space="preserve">: </w:t>
      </w:r>
      <w:r w:rsidRPr="000D0484">
        <w:t xml:space="preserve">All the </w:t>
      </w:r>
      <w:proofErr w:type="spellStart"/>
      <w:r w:rsidRPr="000D0484">
        <w:t>derivated</w:t>
      </w:r>
      <w:proofErr w:type="spellEnd"/>
      <w:r w:rsidRPr="000D0484">
        <w:t xml:space="preserve"> documentations of the purchase order will be confidential and will not be delivered to third parties without</w:t>
      </w:r>
      <w:r>
        <w:t xml:space="preserve"> </w:t>
      </w:r>
      <w:r w:rsidRPr="000D0484">
        <w:t>FIDAMC written authorization.</w:t>
      </w:r>
    </w:p>
    <w:p w14:paraId="2AC1EAF6" w14:textId="0903BA11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Environment and Quality: </w:t>
      </w:r>
      <w:r w:rsidRPr="000D0484">
        <w:t xml:space="preserve">The provider must be involved to </w:t>
      </w:r>
      <w:proofErr w:type="spellStart"/>
      <w:r w:rsidRPr="000D0484">
        <w:t>develope</w:t>
      </w:r>
      <w:proofErr w:type="spellEnd"/>
      <w:r w:rsidRPr="000D0484">
        <w:t xml:space="preserve"> its processes respecting quality and </w:t>
      </w:r>
      <w:proofErr w:type="gramStart"/>
      <w:r w:rsidRPr="000D0484">
        <w:t>environment</w:t>
      </w:r>
      <w:proofErr w:type="gramEnd"/>
      <w:r w:rsidRPr="000D0484">
        <w:t xml:space="preserve"> requirement as part of</w:t>
      </w:r>
      <w:r>
        <w:t xml:space="preserve"> </w:t>
      </w:r>
      <w:r w:rsidRPr="000D0484">
        <w:t xml:space="preserve">FIDAMC’s commitments included in </w:t>
      </w:r>
      <w:proofErr w:type="gramStart"/>
      <w:r w:rsidRPr="000D0484">
        <w:t>it</w:t>
      </w:r>
      <w:proofErr w:type="gramEnd"/>
      <w:r w:rsidRPr="000D0484">
        <w:t xml:space="preserve"> Quality system Management policy (available </w:t>
      </w:r>
      <w:proofErr w:type="gramStart"/>
      <w:r w:rsidRPr="000D0484">
        <w:t>in</w:t>
      </w:r>
      <w:proofErr w:type="gramEnd"/>
      <w:r w:rsidRPr="000D0484">
        <w:t xml:space="preserve"> www.fidamc.es)</w:t>
      </w:r>
    </w:p>
    <w:p w14:paraId="2CECB379" w14:textId="4D236705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Access rights: </w:t>
      </w:r>
      <w:r w:rsidRPr="000D0484">
        <w:t xml:space="preserve">FIDAMC, its </w:t>
      </w:r>
      <w:proofErr w:type="gramStart"/>
      <w:r w:rsidRPr="000D0484">
        <w:t>Clients</w:t>
      </w:r>
      <w:proofErr w:type="gramEnd"/>
      <w:r w:rsidRPr="000D0484">
        <w:t xml:space="preserve"> and regulation authorities must have an access right, previous notification, to all provider facilities involved in</w:t>
      </w:r>
      <w:r>
        <w:t xml:space="preserve"> </w:t>
      </w:r>
      <w:r w:rsidRPr="000D0484">
        <w:t>the purchase order and to all applicable records.</w:t>
      </w:r>
    </w:p>
    <w:p w14:paraId="41920E43" w14:textId="28529B09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Subcontracting: </w:t>
      </w:r>
      <w:r w:rsidRPr="000D0484">
        <w:t xml:space="preserve">The provider will not be allowed to hand over the contract/agreement nor </w:t>
      </w:r>
      <w:proofErr w:type="gramStart"/>
      <w:r w:rsidRPr="000D0484">
        <w:t>subcontracting</w:t>
      </w:r>
      <w:proofErr w:type="gramEnd"/>
      <w:r w:rsidRPr="000D0484">
        <w:t xml:space="preserve"> part of the services object of this order</w:t>
      </w:r>
      <w:r>
        <w:t xml:space="preserve"> </w:t>
      </w:r>
      <w:r w:rsidRPr="000D0484">
        <w:t>without FIDAMC’s previous authorization. In any case, the provider will have to transmit to his subcontractors all the requirements and conditions of</w:t>
      </w:r>
      <w:r>
        <w:t xml:space="preserve"> </w:t>
      </w:r>
      <w:r w:rsidRPr="000D0484">
        <w:t>this order.</w:t>
      </w:r>
    </w:p>
    <w:p w14:paraId="1A8D24E5" w14:textId="4FA9DC4F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Preservation and Access to supplier data register: </w:t>
      </w:r>
      <w:r w:rsidRPr="000D0484">
        <w:t>Suppliers will keep the information and records related to FIDAMC for a period of access in</w:t>
      </w:r>
      <w:r>
        <w:t xml:space="preserve"> </w:t>
      </w:r>
      <w:r w:rsidRPr="000D0484">
        <w:t>accordance with the provisions of the EN9130 standard. These records will be kept legible, identifiable and recoverable.</w:t>
      </w:r>
    </w:p>
    <w:p w14:paraId="33CD1C0A" w14:textId="77777777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General information: </w:t>
      </w:r>
      <w:r w:rsidRPr="000D0484">
        <w:t xml:space="preserve">The supplier is obliged to inform </w:t>
      </w:r>
      <w:proofErr w:type="gramStart"/>
      <w:r w:rsidRPr="000D0484">
        <w:t>any</w:t>
      </w:r>
      <w:proofErr w:type="gramEnd"/>
      <w:r w:rsidRPr="000D0484">
        <w:t xml:space="preserve"> change that occurs in their product, service, process and location.</w:t>
      </w:r>
    </w:p>
    <w:p w14:paraId="0E08C738" w14:textId="34485436" w:rsidR="000D0484" w:rsidRPr="000D0484" w:rsidRDefault="000D0484" w:rsidP="000D0484">
      <w:pPr>
        <w:spacing w:after="0"/>
        <w:jc w:val="both"/>
      </w:pPr>
      <w:r w:rsidRPr="000D0484">
        <w:rPr>
          <w:b/>
          <w:bCs/>
        </w:rPr>
        <w:t xml:space="preserve">Awareness &amp; prevention: </w:t>
      </w:r>
      <w:r w:rsidRPr="000D0484">
        <w:t>The supplier must warrant their staff have become aware of their contribution on the conformity and security of the</w:t>
      </w:r>
      <w:r>
        <w:t xml:space="preserve"> </w:t>
      </w:r>
      <w:r w:rsidRPr="000D0484">
        <w:t xml:space="preserve">product and services supplied to FIDAMC and about the importance and need of ethical behavior during the </w:t>
      </w:r>
      <w:proofErr w:type="gramStart"/>
      <w:r w:rsidRPr="000D0484">
        <w:t>works</w:t>
      </w:r>
      <w:proofErr w:type="gramEnd"/>
      <w:r w:rsidRPr="000D0484">
        <w:t>.</w:t>
      </w:r>
    </w:p>
    <w:p w14:paraId="0CD81AE9" w14:textId="2C22BD1E" w:rsidR="000D0484" w:rsidRPr="000D0484" w:rsidRDefault="000D0484" w:rsidP="000D0484">
      <w:pPr>
        <w:spacing w:after="0"/>
        <w:jc w:val="both"/>
      </w:pPr>
      <w:r w:rsidRPr="000D0484">
        <w:t>The supplier must warrant the prevention and detection of fake elements (raw materials, products, results and any other type of information) and</w:t>
      </w:r>
      <w:r>
        <w:t xml:space="preserve"> </w:t>
      </w:r>
      <w:r w:rsidRPr="000D0484">
        <w:t>avoid them in the products and services given to FIDAMC.</w:t>
      </w:r>
    </w:p>
    <w:p w14:paraId="38378215" w14:textId="51083BD8" w:rsidR="000D0484" w:rsidRPr="000D0484" w:rsidRDefault="000D0484" w:rsidP="000D0484">
      <w:pPr>
        <w:spacing w:after="0"/>
        <w:jc w:val="both"/>
      </w:pPr>
      <w:r w:rsidRPr="000D0484">
        <w:t>The supplier must warrant their employees and equipment are qualified and/or certificated as needed for the products and serviced given to</w:t>
      </w:r>
      <w:r>
        <w:t xml:space="preserve"> </w:t>
      </w:r>
      <w:r w:rsidRPr="000D0484">
        <w:t>FIDAMC.</w:t>
      </w:r>
    </w:p>
    <w:sectPr w:rsidR="000D0484" w:rsidRPr="000D0484" w:rsidSect="00E17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10"/>
    <w:rsid w:val="000D0484"/>
    <w:rsid w:val="000F61D2"/>
    <w:rsid w:val="0038581A"/>
    <w:rsid w:val="003B034E"/>
    <w:rsid w:val="003D69AD"/>
    <w:rsid w:val="00471510"/>
    <w:rsid w:val="00731962"/>
    <w:rsid w:val="00883F9A"/>
    <w:rsid w:val="008841C8"/>
    <w:rsid w:val="00982329"/>
    <w:rsid w:val="00B1668F"/>
    <w:rsid w:val="00B74618"/>
    <w:rsid w:val="00CE1FC3"/>
    <w:rsid w:val="00E1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6C2D"/>
  <w15:chartTrackingRefBased/>
  <w15:docId w15:val="{8594D4C6-0621-4290-A8CC-2F82FDF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buntu" w:hAnsi="Ubuntu"/>
    </w:rPr>
  </w:style>
  <w:style w:type="paragraph" w:styleId="Ttulo1">
    <w:name w:val="heading 1"/>
    <w:basedOn w:val="Normal"/>
    <w:next w:val="Normal"/>
    <w:link w:val="Ttulo1Car"/>
    <w:uiPriority w:val="9"/>
    <w:qFormat/>
    <w:rsid w:val="0047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5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5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5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5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5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5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5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5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5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5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510"/>
    <w:rPr>
      <w:rFonts w:ascii="Ubuntu" w:hAnsi="Ubuntu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5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5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510"/>
    <w:rPr>
      <w:rFonts w:ascii="Ubuntu" w:hAnsi="Ubuntu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Rosario Martínez Miranda</dc:creator>
  <cp:keywords/>
  <dc:description/>
  <cp:lastModifiedBy>María Rosario Martínez Miranda</cp:lastModifiedBy>
  <cp:revision>1</cp:revision>
  <dcterms:created xsi:type="dcterms:W3CDTF">2026-03-19T14:05:00Z</dcterms:created>
  <dcterms:modified xsi:type="dcterms:W3CDTF">2026-03-19T14:25:00Z</dcterms:modified>
</cp:coreProperties>
</file>